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365" w:tblpY="1074"/>
        <w:tblW w:w="10345" w:type="dxa"/>
        <w:tblLook w:val="04A0" w:firstRow="1" w:lastRow="0" w:firstColumn="1" w:lastColumn="0" w:noHBand="0" w:noVBand="1"/>
      </w:tblPr>
      <w:tblGrid>
        <w:gridCol w:w="2174"/>
        <w:gridCol w:w="8171"/>
      </w:tblGrid>
      <w:tr w:rsidR="00C53B2E" w:rsidRPr="001B6501" w14:paraId="2A6FBFBF" w14:textId="77777777" w:rsidTr="004A6FAE">
        <w:tc>
          <w:tcPr>
            <w:tcW w:w="10345" w:type="dxa"/>
            <w:gridSpan w:val="2"/>
          </w:tcPr>
          <w:p w14:paraId="0774E487" w14:textId="1242864A" w:rsidR="00C53B2E" w:rsidRPr="001B6501" w:rsidRDefault="004A6FAE" w:rsidP="004A6FAE">
            <w:pPr>
              <w:pStyle w:val="BodyText"/>
              <w:jc w:val="center"/>
              <w:rPr>
                <w:rFonts w:ascii="Cambria" w:hAnsi="Cambria"/>
                <w:b/>
                <w:bCs/>
                <w:spacing w:val="-1"/>
                <w:w w:val="95"/>
                <w:sz w:val="24"/>
                <w:szCs w:val="24"/>
              </w:rPr>
            </w:pPr>
            <w:r w:rsidRPr="001B6501">
              <w:rPr>
                <w:rFonts w:ascii="Cambria" w:hAnsi="Cambria"/>
                <w:b/>
                <w:bCs/>
                <w:spacing w:val="-1"/>
                <w:w w:val="95"/>
                <w:sz w:val="24"/>
                <w:szCs w:val="24"/>
              </w:rPr>
              <w:t>SOP</w:t>
            </w:r>
          </w:p>
        </w:tc>
      </w:tr>
      <w:tr w:rsidR="00C53B2E" w:rsidRPr="001B6501" w14:paraId="52B67FB3" w14:textId="77777777" w:rsidTr="004A6FAE">
        <w:tc>
          <w:tcPr>
            <w:tcW w:w="2174" w:type="dxa"/>
          </w:tcPr>
          <w:p w14:paraId="1C1BDEC7" w14:textId="77777777" w:rsidR="00C53B2E" w:rsidRPr="001B6501" w:rsidRDefault="00C53B2E" w:rsidP="004A6FAE">
            <w:pPr>
              <w:pStyle w:val="BodyText"/>
              <w:rPr>
                <w:rFonts w:ascii="Cambria" w:hAnsi="Cambria"/>
                <w:spacing w:val="-1"/>
                <w:w w:val="95"/>
                <w:sz w:val="24"/>
                <w:szCs w:val="24"/>
              </w:rPr>
            </w:pPr>
            <w:r w:rsidRPr="001B6501">
              <w:rPr>
                <w:rFonts w:ascii="Cambria" w:hAnsi="Cambria"/>
                <w:spacing w:val="-1"/>
                <w:w w:val="95"/>
                <w:sz w:val="24"/>
                <w:szCs w:val="24"/>
              </w:rPr>
              <w:t>Disbursement</w:t>
            </w:r>
          </w:p>
          <w:p w14:paraId="743E2A58" w14:textId="77777777" w:rsidR="00C53B2E" w:rsidRPr="001B6501" w:rsidRDefault="00C53B2E" w:rsidP="004A6FAE">
            <w:pPr>
              <w:pStyle w:val="BodyText"/>
              <w:rPr>
                <w:rFonts w:ascii="Cambria" w:hAnsi="Cambria"/>
                <w:spacing w:val="-1"/>
                <w:w w:val="95"/>
                <w:sz w:val="24"/>
                <w:szCs w:val="24"/>
              </w:rPr>
            </w:pPr>
            <w:r w:rsidRPr="001B6501">
              <w:rPr>
                <w:rFonts w:ascii="Cambria" w:hAnsi="Cambria"/>
                <w:spacing w:val="-1"/>
                <w:w w:val="95"/>
                <w:sz w:val="24"/>
                <w:szCs w:val="24"/>
              </w:rPr>
              <w:t>By BSG, NHQ</w:t>
            </w:r>
          </w:p>
        </w:tc>
        <w:tc>
          <w:tcPr>
            <w:tcW w:w="8171" w:type="dxa"/>
          </w:tcPr>
          <w:p w14:paraId="0FEB58B3" w14:textId="0CA99A9F" w:rsidR="00C53B2E" w:rsidRPr="001B6501" w:rsidRDefault="00C53B2E" w:rsidP="004A6FAE">
            <w:pPr>
              <w:pStyle w:val="BodyText"/>
              <w:jc w:val="both"/>
              <w:rPr>
                <w:rFonts w:ascii="Cambria" w:hAnsi="Cambria"/>
                <w:spacing w:val="-1"/>
                <w:w w:val="95"/>
                <w:sz w:val="24"/>
                <w:szCs w:val="24"/>
              </w:rPr>
            </w:pPr>
            <w:r w:rsidRPr="001B6501">
              <w:rPr>
                <w:rFonts w:ascii="Cambria" w:hAnsi="Cambria"/>
                <w:spacing w:val="-1"/>
                <w:w w:val="95"/>
                <w:sz w:val="24"/>
                <w:szCs w:val="24"/>
              </w:rPr>
              <w:t xml:space="preserve">NHQ shall not disburse more than </w:t>
            </w:r>
            <w:r w:rsidR="001B6501" w:rsidRPr="001B6501">
              <w:rPr>
                <w:rFonts w:ascii="Cambria" w:hAnsi="Cambria"/>
                <w:spacing w:val="-1"/>
                <w:w w:val="95"/>
                <w:sz w:val="24"/>
                <w:szCs w:val="24"/>
              </w:rPr>
              <w:t>50</w:t>
            </w:r>
            <w:r w:rsidRPr="001B6501">
              <w:rPr>
                <w:rFonts w:ascii="Cambria" w:hAnsi="Cambria"/>
                <w:spacing w:val="-1"/>
                <w:w w:val="95"/>
                <w:sz w:val="24"/>
                <w:szCs w:val="24"/>
              </w:rPr>
              <w:t>% of sanctioned amount in any instalment</w:t>
            </w:r>
          </w:p>
        </w:tc>
      </w:tr>
      <w:tr w:rsidR="00C53B2E" w:rsidRPr="001B6501" w14:paraId="0BAA7F5E" w14:textId="77777777" w:rsidTr="004A6FAE">
        <w:tc>
          <w:tcPr>
            <w:tcW w:w="2174" w:type="dxa"/>
          </w:tcPr>
          <w:p w14:paraId="3E4DEA77" w14:textId="77777777" w:rsidR="00C53B2E" w:rsidRPr="001B6501" w:rsidRDefault="00C53B2E" w:rsidP="004A6FAE">
            <w:pPr>
              <w:pStyle w:val="BodyText"/>
              <w:rPr>
                <w:rFonts w:ascii="Cambria" w:hAnsi="Cambria"/>
                <w:b/>
                <w:bCs/>
                <w:spacing w:val="-1"/>
                <w:w w:val="95"/>
                <w:sz w:val="24"/>
                <w:szCs w:val="24"/>
              </w:rPr>
            </w:pPr>
          </w:p>
        </w:tc>
        <w:tc>
          <w:tcPr>
            <w:tcW w:w="8171" w:type="dxa"/>
          </w:tcPr>
          <w:p w14:paraId="4E28BB69" w14:textId="3FB27E09" w:rsidR="00C53B2E" w:rsidRPr="001B6501" w:rsidRDefault="00C53B2E" w:rsidP="004A6FAE">
            <w:pPr>
              <w:pStyle w:val="BodyText"/>
              <w:jc w:val="both"/>
              <w:rPr>
                <w:rFonts w:ascii="Cambria" w:hAnsi="Cambria"/>
                <w:spacing w:val="-1"/>
                <w:w w:val="95"/>
                <w:sz w:val="24"/>
                <w:szCs w:val="24"/>
              </w:rPr>
            </w:pPr>
            <w:r w:rsidRPr="001B6501">
              <w:rPr>
                <w:rFonts w:ascii="Cambria" w:hAnsi="Cambria"/>
                <w:spacing w:val="-1"/>
                <w:w w:val="95"/>
                <w:sz w:val="24"/>
                <w:szCs w:val="24"/>
              </w:rPr>
              <w:t>Subsequent instalment shall be given on utilization and submission of the utilization certificate by CA as per standard format of BSG NHQ</w:t>
            </w:r>
          </w:p>
        </w:tc>
      </w:tr>
      <w:tr w:rsidR="00C53B2E" w:rsidRPr="001B6501" w14:paraId="3CBF3551" w14:textId="77777777" w:rsidTr="004A6FAE">
        <w:tc>
          <w:tcPr>
            <w:tcW w:w="2174" w:type="dxa"/>
          </w:tcPr>
          <w:p w14:paraId="26E4F2EC" w14:textId="77777777" w:rsidR="00C53B2E" w:rsidRPr="001B6501" w:rsidRDefault="00C53B2E" w:rsidP="004A6FAE">
            <w:pPr>
              <w:pStyle w:val="BodyText"/>
              <w:rPr>
                <w:rFonts w:ascii="Cambria" w:hAnsi="Cambria"/>
                <w:b/>
                <w:bCs/>
                <w:spacing w:val="-1"/>
                <w:w w:val="95"/>
                <w:sz w:val="24"/>
                <w:szCs w:val="24"/>
              </w:rPr>
            </w:pPr>
          </w:p>
        </w:tc>
        <w:tc>
          <w:tcPr>
            <w:tcW w:w="8171" w:type="dxa"/>
          </w:tcPr>
          <w:p w14:paraId="3847FCEF" w14:textId="46D3EE96" w:rsidR="00C53B2E" w:rsidRPr="001B6501" w:rsidRDefault="00C53B2E" w:rsidP="004A6FAE">
            <w:pPr>
              <w:pStyle w:val="BodyText"/>
              <w:jc w:val="both"/>
              <w:rPr>
                <w:rFonts w:ascii="Cambria" w:hAnsi="Cambria"/>
                <w:spacing w:val="-1"/>
                <w:w w:val="95"/>
                <w:sz w:val="24"/>
                <w:szCs w:val="24"/>
              </w:rPr>
            </w:pPr>
            <w:r w:rsidRPr="001B6501">
              <w:rPr>
                <w:rFonts w:ascii="Cambria" w:hAnsi="Cambria"/>
                <w:spacing w:val="-1"/>
                <w:w w:val="95"/>
                <w:sz w:val="24"/>
                <w:szCs w:val="24"/>
              </w:rPr>
              <w:t xml:space="preserve">The utilization certificate shall be obtained within reasonable time of last expense date i.e. on or before 15 days of last expense and submitted to NHQ for their satisfaction and verification, before subsequent instalment </w:t>
            </w:r>
          </w:p>
        </w:tc>
      </w:tr>
      <w:tr w:rsidR="00C53B2E" w:rsidRPr="001B6501" w14:paraId="335E7946" w14:textId="77777777" w:rsidTr="004A6FAE">
        <w:tc>
          <w:tcPr>
            <w:tcW w:w="2174" w:type="dxa"/>
          </w:tcPr>
          <w:p w14:paraId="0E6D2BC3" w14:textId="77777777" w:rsidR="00C53B2E" w:rsidRPr="001B6501" w:rsidRDefault="00C53B2E" w:rsidP="004A6FAE">
            <w:pPr>
              <w:pStyle w:val="BodyText"/>
              <w:rPr>
                <w:rFonts w:ascii="Cambria" w:hAnsi="Cambria"/>
                <w:b/>
                <w:bCs/>
                <w:spacing w:val="-1"/>
                <w:w w:val="95"/>
                <w:sz w:val="24"/>
                <w:szCs w:val="24"/>
              </w:rPr>
            </w:pPr>
            <w:r w:rsidRPr="001B6501">
              <w:rPr>
                <w:rFonts w:ascii="Cambria" w:hAnsi="Cambria"/>
                <w:b/>
                <w:bCs/>
                <w:spacing w:val="-1"/>
                <w:w w:val="95"/>
                <w:sz w:val="24"/>
                <w:szCs w:val="24"/>
              </w:rPr>
              <w:t>Utilization</w:t>
            </w:r>
          </w:p>
        </w:tc>
        <w:tc>
          <w:tcPr>
            <w:tcW w:w="8171" w:type="dxa"/>
          </w:tcPr>
          <w:p w14:paraId="0D348852" w14:textId="506BE02F" w:rsidR="00C53B2E" w:rsidRPr="001B6501" w:rsidRDefault="00C53B2E" w:rsidP="004A6FAE">
            <w:pPr>
              <w:pStyle w:val="BodyText"/>
              <w:jc w:val="both"/>
              <w:rPr>
                <w:rFonts w:ascii="Cambria" w:hAnsi="Cambria"/>
                <w:spacing w:val="-1"/>
                <w:w w:val="95"/>
                <w:sz w:val="24"/>
                <w:szCs w:val="24"/>
              </w:rPr>
            </w:pPr>
            <w:r w:rsidRPr="001B6501">
              <w:rPr>
                <w:rFonts w:ascii="Cambria" w:hAnsi="Cambria"/>
                <w:spacing w:val="-1"/>
                <w:w w:val="95"/>
                <w:sz w:val="24"/>
                <w:szCs w:val="24"/>
              </w:rPr>
              <w:t xml:space="preserve">CA certificate (Statutory auditor of the agency) of each utilization requires in standard format before disbursement of subsequent instalment </w:t>
            </w:r>
          </w:p>
        </w:tc>
      </w:tr>
      <w:tr w:rsidR="00C53B2E" w:rsidRPr="001B6501" w14:paraId="2DC5FC11" w14:textId="77777777" w:rsidTr="004A6FAE">
        <w:tc>
          <w:tcPr>
            <w:tcW w:w="2174" w:type="dxa"/>
          </w:tcPr>
          <w:p w14:paraId="4A5F30D8" w14:textId="77777777" w:rsidR="00C53B2E" w:rsidRPr="001B6501" w:rsidRDefault="00C53B2E" w:rsidP="004A6FAE">
            <w:pPr>
              <w:pStyle w:val="BodyText"/>
              <w:rPr>
                <w:rFonts w:ascii="Cambria" w:hAnsi="Cambria"/>
                <w:b/>
                <w:bCs/>
                <w:spacing w:val="-1"/>
                <w:w w:val="95"/>
                <w:sz w:val="24"/>
                <w:szCs w:val="24"/>
              </w:rPr>
            </w:pPr>
            <w:r w:rsidRPr="001B6501">
              <w:rPr>
                <w:rFonts w:ascii="Cambria" w:hAnsi="Cambria"/>
                <w:b/>
                <w:bCs/>
                <w:spacing w:val="-1"/>
                <w:w w:val="95"/>
                <w:sz w:val="24"/>
                <w:szCs w:val="24"/>
              </w:rPr>
              <w:t>Supporting Documentation</w:t>
            </w:r>
          </w:p>
        </w:tc>
        <w:tc>
          <w:tcPr>
            <w:tcW w:w="8171" w:type="dxa"/>
          </w:tcPr>
          <w:p w14:paraId="40E1B412" w14:textId="5A00F675" w:rsidR="00C53B2E" w:rsidRPr="001B6501" w:rsidRDefault="00C53B2E" w:rsidP="004A6FAE">
            <w:pPr>
              <w:pStyle w:val="BodyText"/>
              <w:jc w:val="both"/>
              <w:rPr>
                <w:rFonts w:ascii="Cambria" w:hAnsi="Cambria"/>
                <w:spacing w:val="-1"/>
                <w:w w:val="95"/>
                <w:sz w:val="24"/>
                <w:szCs w:val="24"/>
              </w:rPr>
            </w:pPr>
            <w:r w:rsidRPr="001B6501">
              <w:rPr>
                <w:rFonts w:ascii="Cambria" w:hAnsi="Cambria"/>
                <w:spacing w:val="-1"/>
                <w:w w:val="95"/>
                <w:sz w:val="24"/>
                <w:szCs w:val="24"/>
              </w:rPr>
              <w:t>The supports to the expenses shall be tried to be paid through banking mode as much as possible however the banking payment shall not be below 50% of total expenses at any cost. No cash support (each date, type of expense and vendor wise) above Rs.1</w:t>
            </w:r>
            <w:r w:rsidR="004A6FAE" w:rsidRPr="001B6501">
              <w:rPr>
                <w:rFonts w:ascii="Cambria" w:hAnsi="Cambria"/>
                <w:spacing w:val="-1"/>
                <w:w w:val="95"/>
                <w:sz w:val="24"/>
                <w:szCs w:val="24"/>
              </w:rPr>
              <w:t>0</w:t>
            </w:r>
            <w:r w:rsidRPr="001B6501">
              <w:rPr>
                <w:rFonts w:ascii="Cambria" w:hAnsi="Cambria"/>
                <w:spacing w:val="-1"/>
                <w:w w:val="95"/>
                <w:sz w:val="24"/>
                <w:szCs w:val="24"/>
              </w:rPr>
              <w:t>,000 each support as per the Income-tax Act provision.</w:t>
            </w:r>
          </w:p>
        </w:tc>
      </w:tr>
      <w:tr w:rsidR="00C53B2E" w:rsidRPr="001B6501" w14:paraId="0D4A9521" w14:textId="77777777" w:rsidTr="004A6FAE">
        <w:tc>
          <w:tcPr>
            <w:tcW w:w="2174" w:type="dxa"/>
          </w:tcPr>
          <w:p w14:paraId="1F63F6BD" w14:textId="77777777" w:rsidR="00C53B2E" w:rsidRPr="001B6501" w:rsidRDefault="00C53B2E" w:rsidP="004A6FAE">
            <w:pPr>
              <w:pStyle w:val="BodyText"/>
              <w:rPr>
                <w:rFonts w:ascii="Cambria" w:hAnsi="Cambria"/>
                <w:b/>
                <w:bCs/>
                <w:spacing w:val="-1"/>
                <w:w w:val="95"/>
                <w:sz w:val="24"/>
                <w:szCs w:val="24"/>
              </w:rPr>
            </w:pPr>
          </w:p>
        </w:tc>
        <w:tc>
          <w:tcPr>
            <w:tcW w:w="8171" w:type="dxa"/>
          </w:tcPr>
          <w:p w14:paraId="58FD6CFA" w14:textId="0C6BC3C8" w:rsidR="00C53B2E" w:rsidRPr="001B6501" w:rsidRDefault="00C53B2E" w:rsidP="004A6FAE">
            <w:pPr>
              <w:pStyle w:val="BodyText"/>
              <w:jc w:val="both"/>
              <w:rPr>
                <w:rFonts w:ascii="Cambria" w:hAnsi="Cambria"/>
                <w:spacing w:val="-1"/>
                <w:w w:val="95"/>
                <w:sz w:val="24"/>
                <w:szCs w:val="24"/>
              </w:rPr>
            </w:pPr>
            <w:r w:rsidRPr="001B6501">
              <w:rPr>
                <w:rFonts w:ascii="Cambria" w:hAnsi="Cambria"/>
                <w:spacing w:val="-1"/>
                <w:w w:val="95"/>
                <w:sz w:val="24"/>
                <w:szCs w:val="24"/>
              </w:rPr>
              <w:t>The support copy to be attached with each certificate in order to the nature of expense with detail of the expense, broadly categorized in possible group/class of expense and attached in order of the date of expense.</w:t>
            </w:r>
          </w:p>
        </w:tc>
      </w:tr>
      <w:tr w:rsidR="00C53B2E" w:rsidRPr="001B6501" w14:paraId="268069D1" w14:textId="77777777" w:rsidTr="004A6FAE">
        <w:tc>
          <w:tcPr>
            <w:tcW w:w="2174" w:type="dxa"/>
          </w:tcPr>
          <w:p w14:paraId="0147D275" w14:textId="77777777" w:rsidR="00C53B2E" w:rsidRPr="001B6501" w:rsidRDefault="00C53B2E" w:rsidP="004A6FAE">
            <w:pPr>
              <w:pStyle w:val="BodyText"/>
              <w:rPr>
                <w:rFonts w:ascii="Cambria" w:hAnsi="Cambria"/>
                <w:b/>
                <w:bCs/>
                <w:spacing w:val="-1"/>
                <w:w w:val="95"/>
                <w:sz w:val="24"/>
                <w:szCs w:val="24"/>
              </w:rPr>
            </w:pPr>
          </w:p>
        </w:tc>
        <w:tc>
          <w:tcPr>
            <w:tcW w:w="8171" w:type="dxa"/>
          </w:tcPr>
          <w:p w14:paraId="3B618036" w14:textId="19EFF512" w:rsidR="00C53B2E" w:rsidRPr="001B6501" w:rsidRDefault="00C53B2E" w:rsidP="004A6FAE">
            <w:pPr>
              <w:pStyle w:val="BodyText"/>
              <w:jc w:val="both"/>
              <w:rPr>
                <w:rFonts w:ascii="Cambria" w:hAnsi="Cambria"/>
                <w:spacing w:val="-1"/>
                <w:w w:val="95"/>
                <w:sz w:val="24"/>
                <w:szCs w:val="24"/>
              </w:rPr>
            </w:pPr>
            <w:r w:rsidRPr="001B6501">
              <w:rPr>
                <w:rFonts w:ascii="Cambria" w:hAnsi="Cambria"/>
                <w:spacing w:val="-1"/>
                <w:w w:val="95"/>
                <w:sz w:val="24"/>
                <w:szCs w:val="24"/>
              </w:rPr>
              <w:t>The original support to be preserved for future reference with management of the organization. The preservation shall be minimum 10 years.</w:t>
            </w:r>
          </w:p>
        </w:tc>
      </w:tr>
      <w:tr w:rsidR="00C53B2E" w:rsidRPr="001B6501" w14:paraId="066F2F7A" w14:textId="77777777" w:rsidTr="004A6FAE">
        <w:tc>
          <w:tcPr>
            <w:tcW w:w="2174" w:type="dxa"/>
          </w:tcPr>
          <w:p w14:paraId="27683FD5" w14:textId="77777777" w:rsidR="00C53B2E" w:rsidRPr="001B6501" w:rsidRDefault="00C53B2E" w:rsidP="004A6FAE">
            <w:pPr>
              <w:pStyle w:val="BodyText"/>
              <w:rPr>
                <w:rFonts w:ascii="Cambria" w:hAnsi="Cambria"/>
                <w:b/>
                <w:bCs/>
                <w:spacing w:val="-1"/>
                <w:w w:val="95"/>
                <w:sz w:val="24"/>
                <w:szCs w:val="24"/>
              </w:rPr>
            </w:pPr>
          </w:p>
        </w:tc>
        <w:tc>
          <w:tcPr>
            <w:tcW w:w="8171" w:type="dxa"/>
          </w:tcPr>
          <w:p w14:paraId="65659E1A" w14:textId="0CBDCBD7" w:rsidR="00C53B2E" w:rsidRPr="001B6501" w:rsidRDefault="00C53B2E" w:rsidP="004A6FAE">
            <w:pPr>
              <w:pStyle w:val="BodyText"/>
              <w:jc w:val="both"/>
              <w:rPr>
                <w:rFonts w:ascii="Cambria" w:hAnsi="Cambria"/>
                <w:spacing w:val="-1"/>
                <w:w w:val="95"/>
                <w:sz w:val="24"/>
                <w:szCs w:val="24"/>
              </w:rPr>
            </w:pPr>
            <w:r w:rsidRPr="001B6501">
              <w:rPr>
                <w:rFonts w:ascii="Cambria" w:hAnsi="Cambria"/>
                <w:spacing w:val="-1"/>
                <w:w w:val="95"/>
                <w:sz w:val="24"/>
                <w:szCs w:val="24"/>
              </w:rPr>
              <w:t>The assets created out of the fund utilization shall be preserved with care to their safety or submitted to BSG, NHQ, unless in case of petty value assets and being handed over the beneficiary</w:t>
            </w:r>
          </w:p>
        </w:tc>
      </w:tr>
      <w:tr w:rsidR="00C53B2E" w:rsidRPr="001B6501" w14:paraId="332F99AE" w14:textId="77777777" w:rsidTr="004A6FAE">
        <w:tc>
          <w:tcPr>
            <w:tcW w:w="2174" w:type="dxa"/>
          </w:tcPr>
          <w:p w14:paraId="727D219A" w14:textId="77777777" w:rsidR="00C53B2E" w:rsidRPr="001B6501" w:rsidRDefault="00C53B2E" w:rsidP="004A6FAE">
            <w:pPr>
              <w:pStyle w:val="BodyText"/>
              <w:rPr>
                <w:rFonts w:ascii="Cambria" w:hAnsi="Cambria"/>
                <w:b/>
                <w:bCs/>
                <w:spacing w:val="-1"/>
                <w:w w:val="95"/>
                <w:sz w:val="24"/>
                <w:szCs w:val="24"/>
              </w:rPr>
            </w:pPr>
          </w:p>
        </w:tc>
        <w:tc>
          <w:tcPr>
            <w:tcW w:w="8171" w:type="dxa"/>
          </w:tcPr>
          <w:p w14:paraId="457EF952" w14:textId="77777777" w:rsidR="00C53B2E" w:rsidRPr="001B6501" w:rsidRDefault="00C53B2E" w:rsidP="004A6FAE">
            <w:pPr>
              <w:pStyle w:val="BodyText"/>
              <w:jc w:val="both"/>
              <w:rPr>
                <w:rFonts w:ascii="Cambria" w:hAnsi="Cambria"/>
                <w:spacing w:val="-1"/>
                <w:w w:val="95"/>
                <w:sz w:val="24"/>
                <w:szCs w:val="24"/>
              </w:rPr>
            </w:pPr>
            <w:r w:rsidRPr="001B6501">
              <w:rPr>
                <w:rFonts w:ascii="Cambria" w:hAnsi="Cambria"/>
                <w:spacing w:val="-1"/>
                <w:w w:val="95"/>
                <w:sz w:val="24"/>
                <w:szCs w:val="24"/>
              </w:rPr>
              <w:t xml:space="preserve">TDS provisions shall be complied by the Agency while making payments and Payment challans for TDS deducted shall be submitted to the BSG, NHQ </w:t>
            </w:r>
          </w:p>
        </w:tc>
      </w:tr>
      <w:tr w:rsidR="00C53B2E" w:rsidRPr="001B6501" w14:paraId="0C386196" w14:textId="77777777" w:rsidTr="004A6FAE">
        <w:tc>
          <w:tcPr>
            <w:tcW w:w="2174" w:type="dxa"/>
          </w:tcPr>
          <w:p w14:paraId="4427685A" w14:textId="77777777" w:rsidR="00C53B2E" w:rsidRPr="001B6501" w:rsidRDefault="00C53B2E" w:rsidP="004A6FAE">
            <w:pPr>
              <w:pStyle w:val="BodyText"/>
              <w:rPr>
                <w:rFonts w:ascii="Cambria" w:hAnsi="Cambria"/>
                <w:b/>
                <w:bCs/>
                <w:spacing w:val="-1"/>
                <w:w w:val="95"/>
                <w:sz w:val="24"/>
                <w:szCs w:val="24"/>
              </w:rPr>
            </w:pPr>
          </w:p>
        </w:tc>
        <w:tc>
          <w:tcPr>
            <w:tcW w:w="8171" w:type="dxa"/>
          </w:tcPr>
          <w:p w14:paraId="36DB0AC1" w14:textId="6816CA24" w:rsidR="00C53B2E" w:rsidRPr="001B6501" w:rsidRDefault="00C53B2E" w:rsidP="004A6FAE">
            <w:pPr>
              <w:pStyle w:val="BodyText"/>
              <w:jc w:val="both"/>
              <w:rPr>
                <w:rFonts w:ascii="Cambria" w:hAnsi="Cambria"/>
                <w:spacing w:val="-1"/>
                <w:w w:val="95"/>
                <w:sz w:val="24"/>
                <w:szCs w:val="24"/>
              </w:rPr>
            </w:pPr>
            <w:r w:rsidRPr="001B6501">
              <w:rPr>
                <w:rFonts w:ascii="Cambria" w:hAnsi="Cambria"/>
                <w:spacing w:val="-1"/>
                <w:w w:val="95"/>
                <w:sz w:val="24"/>
                <w:szCs w:val="24"/>
              </w:rPr>
              <w:t>BSG, NHQ reserve the right of inspection of original documents at any time by giving 1-2 working days’ notice.</w:t>
            </w:r>
          </w:p>
        </w:tc>
      </w:tr>
    </w:tbl>
    <w:p w14:paraId="7B7EE541" w14:textId="3169C8E5" w:rsidR="00832F35" w:rsidRPr="001B6501" w:rsidRDefault="004A6FAE" w:rsidP="00C53B2E">
      <w:pPr>
        <w:jc w:val="center"/>
        <w:rPr>
          <w:rFonts w:ascii="Cambria" w:hAnsi="Cambria"/>
          <w:b/>
          <w:bCs/>
          <w:sz w:val="24"/>
          <w:szCs w:val="24"/>
          <w:u w:val="single"/>
        </w:rPr>
      </w:pPr>
      <w:r w:rsidRPr="001B6501">
        <w:rPr>
          <w:rFonts w:ascii="Cambria" w:hAnsi="Cambria"/>
          <w:b/>
          <w:bCs/>
          <w:sz w:val="24"/>
          <w:szCs w:val="24"/>
          <w:u w:val="single"/>
        </w:rPr>
        <w:t xml:space="preserve">    </w:t>
      </w:r>
    </w:p>
    <w:p w14:paraId="011E3118" w14:textId="156042D7" w:rsidR="00C53B2E" w:rsidRPr="001B6501" w:rsidRDefault="00C53B2E" w:rsidP="004A6FAE">
      <w:pPr>
        <w:ind w:left="-450"/>
        <w:jc w:val="center"/>
        <w:rPr>
          <w:rFonts w:ascii="Cambria" w:hAnsi="Cambria"/>
          <w:b/>
          <w:bCs/>
          <w:sz w:val="24"/>
          <w:szCs w:val="24"/>
          <w:u w:val="single"/>
        </w:rPr>
      </w:pPr>
      <w:r w:rsidRPr="001B6501">
        <w:rPr>
          <w:rFonts w:ascii="Cambria" w:hAnsi="Cambria"/>
          <w:b/>
          <w:bCs/>
          <w:sz w:val="24"/>
          <w:szCs w:val="24"/>
          <w:u w:val="single"/>
        </w:rPr>
        <w:t xml:space="preserve">THE BHARAT SCOUTS AND GUIDES, NATIONAL HEADQUARTERS, NEW DELHI </w:t>
      </w:r>
      <w:r w:rsidR="00832F35" w:rsidRPr="001B6501">
        <w:rPr>
          <w:rFonts w:ascii="Cambria" w:hAnsi="Cambria"/>
          <w:b/>
          <w:bCs/>
          <w:sz w:val="24"/>
          <w:szCs w:val="24"/>
          <w:u w:val="single"/>
        </w:rPr>
        <w:t>–</w:t>
      </w:r>
      <w:r w:rsidRPr="001B6501">
        <w:rPr>
          <w:rFonts w:ascii="Cambria" w:hAnsi="Cambria"/>
          <w:b/>
          <w:bCs/>
          <w:sz w:val="24"/>
          <w:szCs w:val="24"/>
          <w:u w:val="single"/>
        </w:rPr>
        <w:t xml:space="preserve"> 110002</w:t>
      </w:r>
    </w:p>
    <w:p w14:paraId="54E1A638" w14:textId="77777777" w:rsidR="00832F35" w:rsidRPr="001B6501" w:rsidRDefault="00832F35" w:rsidP="00C53B2E">
      <w:pPr>
        <w:jc w:val="center"/>
        <w:rPr>
          <w:rFonts w:ascii="Cambria" w:hAnsi="Cambria"/>
          <w:b/>
          <w:bCs/>
          <w:sz w:val="24"/>
          <w:szCs w:val="24"/>
          <w:u w:val="single"/>
        </w:rPr>
      </w:pPr>
    </w:p>
    <w:p w14:paraId="5B2B737C" w14:textId="77777777" w:rsidR="00C53B2E" w:rsidRPr="001B6501" w:rsidRDefault="00C53B2E" w:rsidP="00C53B2E">
      <w:pPr>
        <w:rPr>
          <w:rFonts w:ascii="Cambria" w:hAnsi="Cambria"/>
          <w:sz w:val="24"/>
          <w:szCs w:val="24"/>
        </w:rPr>
      </w:pPr>
    </w:p>
    <w:p w14:paraId="179B8400" w14:textId="77777777" w:rsidR="00C53B2E" w:rsidRPr="001B6501" w:rsidRDefault="00C53B2E" w:rsidP="00C53B2E">
      <w:pPr>
        <w:rPr>
          <w:rFonts w:ascii="Cambria" w:hAnsi="Cambria"/>
          <w:sz w:val="24"/>
          <w:szCs w:val="24"/>
        </w:rPr>
      </w:pPr>
    </w:p>
    <w:p w14:paraId="72A79EA5" w14:textId="4CBC0563" w:rsidR="00C53B2E" w:rsidRPr="001B6501" w:rsidRDefault="00C53B2E" w:rsidP="00C53B2E">
      <w:pPr>
        <w:jc w:val="both"/>
        <w:rPr>
          <w:rFonts w:ascii="Cambria" w:hAnsi="Cambria"/>
          <w:sz w:val="24"/>
          <w:szCs w:val="24"/>
        </w:rPr>
      </w:pPr>
      <w:r w:rsidRPr="001B6501">
        <w:rPr>
          <w:rFonts w:ascii="Cambria" w:hAnsi="Cambria"/>
          <w:sz w:val="24"/>
          <w:szCs w:val="24"/>
        </w:rPr>
        <w:t xml:space="preserve">I/We hereby confirm that I/We have read, understood, and agree to abide by the </w:t>
      </w:r>
      <w:r w:rsidR="004A6FAE" w:rsidRPr="001B6501">
        <w:rPr>
          <w:rFonts w:ascii="Cambria" w:hAnsi="Cambria"/>
          <w:sz w:val="24"/>
          <w:szCs w:val="24"/>
        </w:rPr>
        <w:t>SOP</w:t>
      </w:r>
      <w:r w:rsidRPr="001B6501">
        <w:rPr>
          <w:rFonts w:ascii="Cambria" w:hAnsi="Cambria"/>
          <w:sz w:val="24"/>
          <w:szCs w:val="24"/>
        </w:rPr>
        <w:t xml:space="preserve"> as outlined above issued by </w:t>
      </w:r>
      <w:r w:rsidRPr="001B6501">
        <w:rPr>
          <w:rFonts w:ascii="Cambria" w:hAnsi="Cambria"/>
          <w:b/>
          <w:bCs/>
          <w:sz w:val="24"/>
          <w:szCs w:val="24"/>
        </w:rPr>
        <w:t>The Bharat Scouts and Guides, National Headquarters, New Delhi</w:t>
      </w:r>
      <w:r w:rsidRPr="001B6501">
        <w:rPr>
          <w:rFonts w:ascii="Cambria" w:hAnsi="Cambria"/>
          <w:sz w:val="24"/>
          <w:szCs w:val="24"/>
        </w:rPr>
        <w:t>-110002.</w:t>
      </w:r>
    </w:p>
    <w:p w14:paraId="355CA2F4" w14:textId="77777777" w:rsidR="00C53B2E" w:rsidRPr="001B6501" w:rsidRDefault="00C53B2E" w:rsidP="00C53B2E">
      <w:pPr>
        <w:rPr>
          <w:rFonts w:ascii="Cambria" w:hAnsi="Cambria"/>
          <w:sz w:val="24"/>
          <w:szCs w:val="24"/>
        </w:rPr>
      </w:pPr>
    </w:p>
    <w:p w14:paraId="79B786BA" w14:textId="77777777" w:rsidR="001B6501" w:rsidRDefault="001B6501" w:rsidP="0005098E">
      <w:pPr>
        <w:spacing w:line="480" w:lineRule="auto"/>
        <w:rPr>
          <w:rFonts w:ascii="Cambria" w:hAnsi="Cambria"/>
          <w:b/>
          <w:bCs/>
          <w:sz w:val="24"/>
          <w:szCs w:val="24"/>
          <w:lang w:val="en-IN"/>
        </w:rPr>
      </w:pPr>
    </w:p>
    <w:p w14:paraId="11BF46B7" w14:textId="77777777" w:rsidR="001B6501" w:rsidRDefault="001B6501" w:rsidP="0005098E">
      <w:pPr>
        <w:spacing w:line="480" w:lineRule="auto"/>
        <w:rPr>
          <w:rFonts w:ascii="Cambria" w:hAnsi="Cambria"/>
          <w:b/>
          <w:bCs/>
          <w:sz w:val="24"/>
          <w:szCs w:val="24"/>
          <w:lang w:val="en-IN"/>
        </w:rPr>
      </w:pPr>
    </w:p>
    <w:p w14:paraId="0F6A9DF1" w14:textId="7803EC26" w:rsidR="00C53B2E" w:rsidRPr="001B6501" w:rsidRDefault="00832F35" w:rsidP="001B6501">
      <w:pPr>
        <w:spacing w:line="480" w:lineRule="auto"/>
        <w:rPr>
          <w:rFonts w:ascii="Cambria" w:hAnsi="Cambria"/>
          <w:sz w:val="24"/>
          <w:szCs w:val="24"/>
        </w:rPr>
      </w:pPr>
      <w:r w:rsidRPr="001B6501">
        <w:rPr>
          <w:rFonts w:ascii="Cambria" w:hAnsi="Cambria"/>
          <w:b/>
          <w:bCs/>
          <w:sz w:val="24"/>
          <w:szCs w:val="24"/>
          <w:lang w:val="en-IN"/>
        </w:rPr>
        <w:t xml:space="preserve">Accepted and </w:t>
      </w:r>
      <w:proofErr w:type="gramStart"/>
      <w:r w:rsidRPr="001B6501">
        <w:rPr>
          <w:rFonts w:ascii="Cambria" w:hAnsi="Cambria"/>
          <w:b/>
          <w:bCs/>
          <w:sz w:val="24"/>
          <w:szCs w:val="24"/>
          <w:lang w:val="en-IN"/>
        </w:rPr>
        <w:t>Agreed</w:t>
      </w:r>
      <w:proofErr w:type="gramEnd"/>
      <w:r w:rsidRPr="001B6501">
        <w:rPr>
          <w:rFonts w:ascii="Cambria" w:hAnsi="Cambria"/>
          <w:b/>
          <w:bCs/>
          <w:sz w:val="24"/>
          <w:szCs w:val="24"/>
          <w:lang w:val="en-IN"/>
        </w:rPr>
        <w:t xml:space="preserve"> by:</w:t>
      </w:r>
      <w:r w:rsidRPr="001B6501">
        <w:rPr>
          <w:rFonts w:ascii="Cambria" w:hAnsi="Cambria"/>
          <w:sz w:val="24"/>
          <w:szCs w:val="24"/>
          <w:lang w:val="en-IN"/>
        </w:rPr>
        <w:br/>
        <w:t>Name: _________________________</w:t>
      </w:r>
      <w:r w:rsidRPr="001B6501">
        <w:rPr>
          <w:rFonts w:ascii="Cambria" w:hAnsi="Cambria"/>
          <w:sz w:val="24"/>
          <w:szCs w:val="24"/>
          <w:lang w:val="en-IN"/>
        </w:rPr>
        <w:br/>
        <w:t>Name Unit/State Association: ____________________</w:t>
      </w:r>
      <w:r w:rsidRPr="001B6501">
        <w:rPr>
          <w:rFonts w:ascii="Cambria" w:hAnsi="Cambria"/>
          <w:sz w:val="24"/>
          <w:szCs w:val="24"/>
          <w:lang w:val="en-IN"/>
        </w:rPr>
        <w:br/>
      </w:r>
      <w:r w:rsidR="000909E8" w:rsidRPr="001B6501">
        <w:rPr>
          <w:rFonts w:ascii="Cambria" w:hAnsi="Cambria"/>
          <w:sz w:val="24"/>
          <w:szCs w:val="24"/>
          <w:lang w:val="en-IN"/>
        </w:rPr>
        <w:t xml:space="preserve">Seal &amp; </w:t>
      </w:r>
      <w:r w:rsidRPr="001B6501">
        <w:rPr>
          <w:rFonts w:ascii="Cambria" w:hAnsi="Cambria"/>
          <w:sz w:val="24"/>
          <w:szCs w:val="24"/>
          <w:lang w:val="en-IN"/>
        </w:rPr>
        <w:t>Signature: ______________________</w:t>
      </w:r>
      <w:r w:rsidRPr="001B6501">
        <w:rPr>
          <w:rFonts w:ascii="Cambria" w:hAnsi="Cambria"/>
          <w:sz w:val="24"/>
          <w:szCs w:val="24"/>
          <w:lang w:val="en-IN"/>
        </w:rPr>
        <w:br/>
        <w:t>Date: _________________________</w:t>
      </w:r>
    </w:p>
    <w:sectPr w:rsidR="00C53B2E" w:rsidRPr="001B6501" w:rsidSect="004A6FAE">
      <w:pgSz w:w="11906" w:h="16838"/>
      <w:pgMar w:top="1440" w:right="47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A4"/>
    <w:rsid w:val="0005098E"/>
    <w:rsid w:val="000909E8"/>
    <w:rsid w:val="000E61C4"/>
    <w:rsid w:val="001B6501"/>
    <w:rsid w:val="002B3F1C"/>
    <w:rsid w:val="003159D9"/>
    <w:rsid w:val="003D46A4"/>
    <w:rsid w:val="004A6FAE"/>
    <w:rsid w:val="00792499"/>
    <w:rsid w:val="00832594"/>
    <w:rsid w:val="00832F35"/>
    <w:rsid w:val="009C0423"/>
    <w:rsid w:val="009F3A02"/>
    <w:rsid w:val="00C53B2E"/>
    <w:rsid w:val="00F1663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5BE97"/>
  <w15:chartTrackingRefBased/>
  <w15:docId w15:val="{86807CED-8E13-4232-889E-EAA3D00F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53B2E"/>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3D46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46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46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46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46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46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6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6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6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6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46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46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46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46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46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6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6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6A4"/>
    <w:rPr>
      <w:rFonts w:eastAsiaTheme="majorEastAsia" w:cstheme="majorBidi"/>
      <w:color w:val="272727" w:themeColor="text1" w:themeTint="D8"/>
    </w:rPr>
  </w:style>
  <w:style w:type="paragraph" w:styleId="Title">
    <w:name w:val="Title"/>
    <w:basedOn w:val="Normal"/>
    <w:next w:val="Normal"/>
    <w:link w:val="TitleChar"/>
    <w:uiPriority w:val="10"/>
    <w:qFormat/>
    <w:rsid w:val="003D46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6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6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6A4"/>
    <w:pPr>
      <w:spacing w:before="160"/>
      <w:jc w:val="center"/>
    </w:pPr>
    <w:rPr>
      <w:i/>
      <w:iCs/>
      <w:color w:val="404040" w:themeColor="text1" w:themeTint="BF"/>
    </w:rPr>
  </w:style>
  <w:style w:type="character" w:customStyle="1" w:styleId="QuoteChar">
    <w:name w:val="Quote Char"/>
    <w:basedOn w:val="DefaultParagraphFont"/>
    <w:link w:val="Quote"/>
    <w:uiPriority w:val="29"/>
    <w:rsid w:val="003D46A4"/>
    <w:rPr>
      <w:i/>
      <w:iCs/>
      <w:color w:val="404040" w:themeColor="text1" w:themeTint="BF"/>
    </w:rPr>
  </w:style>
  <w:style w:type="paragraph" w:styleId="ListParagraph">
    <w:name w:val="List Paragraph"/>
    <w:basedOn w:val="Normal"/>
    <w:uiPriority w:val="34"/>
    <w:qFormat/>
    <w:rsid w:val="003D46A4"/>
    <w:pPr>
      <w:ind w:left="720"/>
      <w:contextualSpacing/>
    </w:pPr>
  </w:style>
  <w:style w:type="character" w:styleId="IntenseEmphasis">
    <w:name w:val="Intense Emphasis"/>
    <w:basedOn w:val="DefaultParagraphFont"/>
    <w:uiPriority w:val="21"/>
    <w:qFormat/>
    <w:rsid w:val="003D46A4"/>
    <w:rPr>
      <w:i/>
      <w:iCs/>
      <w:color w:val="2F5496" w:themeColor="accent1" w:themeShade="BF"/>
    </w:rPr>
  </w:style>
  <w:style w:type="paragraph" w:styleId="IntenseQuote">
    <w:name w:val="Intense Quote"/>
    <w:basedOn w:val="Normal"/>
    <w:next w:val="Normal"/>
    <w:link w:val="IntenseQuoteChar"/>
    <w:uiPriority w:val="30"/>
    <w:qFormat/>
    <w:rsid w:val="003D46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46A4"/>
    <w:rPr>
      <w:i/>
      <w:iCs/>
      <w:color w:val="2F5496" w:themeColor="accent1" w:themeShade="BF"/>
    </w:rPr>
  </w:style>
  <w:style w:type="character" w:styleId="IntenseReference">
    <w:name w:val="Intense Reference"/>
    <w:basedOn w:val="DefaultParagraphFont"/>
    <w:uiPriority w:val="32"/>
    <w:qFormat/>
    <w:rsid w:val="003D46A4"/>
    <w:rPr>
      <w:b/>
      <w:bCs/>
      <w:smallCaps/>
      <w:color w:val="2F5496" w:themeColor="accent1" w:themeShade="BF"/>
      <w:spacing w:val="5"/>
    </w:rPr>
  </w:style>
  <w:style w:type="paragraph" w:styleId="BodyText">
    <w:name w:val="Body Text"/>
    <w:basedOn w:val="Normal"/>
    <w:link w:val="BodyTextChar"/>
    <w:uiPriority w:val="1"/>
    <w:qFormat/>
    <w:rsid w:val="00C53B2E"/>
  </w:style>
  <w:style w:type="character" w:customStyle="1" w:styleId="BodyTextChar">
    <w:name w:val="Body Text Char"/>
    <w:basedOn w:val="DefaultParagraphFont"/>
    <w:link w:val="BodyText"/>
    <w:uiPriority w:val="1"/>
    <w:rsid w:val="00C53B2E"/>
    <w:rPr>
      <w:rFonts w:ascii="Calibri" w:eastAsia="Calibri" w:hAnsi="Calibri" w:cs="Calibri"/>
      <w:kern w:val="0"/>
      <w:lang w:val="en-US"/>
      <w14:ligatures w14:val="none"/>
    </w:rPr>
  </w:style>
  <w:style w:type="table" w:styleId="TableGrid">
    <w:name w:val="Table Grid"/>
    <w:basedOn w:val="TableNormal"/>
    <w:uiPriority w:val="59"/>
    <w:rsid w:val="00C53B2E"/>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724826">
      <w:bodyDiv w:val="1"/>
      <w:marLeft w:val="0"/>
      <w:marRight w:val="0"/>
      <w:marTop w:val="0"/>
      <w:marBottom w:val="0"/>
      <w:divBdr>
        <w:top w:val="none" w:sz="0" w:space="0" w:color="auto"/>
        <w:left w:val="none" w:sz="0" w:space="0" w:color="auto"/>
        <w:bottom w:val="none" w:sz="0" w:space="0" w:color="auto"/>
        <w:right w:val="none" w:sz="0" w:space="0" w:color="auto"/>
      </w:divBdr>
    </w:div>
    <w:div w:id="146361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BSG AIO-02</dc:creator>
  <cp:keywords/>
  <dc:description/>
  <cp:lastModifiedBy>BSG INDIA</cp:lastModifiedBy>
  <cp:revision>10</cp:revision>
  <cp:lastPrinted>2025-05-22T10:54:00Z</cp:lastPrinted>
  <dcterms:created xsi:type="dcterms:W3CDTF">2025-05-22T10:45:00Z</dcterms:created>
  <dcterms:modified xsi:type="dcterms:W3CDTF">2025-10-05T14:38:00Z</dcterms:modified>
</cp:coreProperties>
</file>